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3" w:rsidRPr="00C25F6C" w:rsidRDefault="008A4D33" w:rsidP="008A4D33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b w:val="0"/>
          <w:color w:val="000000"/>
          <w:sz w:val="28"/>
          <w:szCs w:val="28"/>
        </w:rPr>
      </w:pPr>
      <w:r w:rsidRPr="00C25F6C">
        <w:rPr>
          <w:b/>
          <w:color w:val="727272"/>
          <w:sz w:val="28"/>
          <w:szCs w:val="28"/>
        </w:rPr>
        <w:tab/>
      </w:r>
      <w:bookmarkStart w:id="0" w:name="_GoBack"/>
      <w:r w:rsidRPr="00C25F6C">
        <w:rPr>
          <w:rStyle w:val="Strong"/>
          <w:b w:val="0"/>
          <w:color w:val="000000"/>
          <w:sz w:val="28"/>
          <w:szCs w:val="28"/>
        </w:rPr>
        <w:tab/>
        <w:t>Converting a Traditional IRA to a Roth IRA</w:t>
      </w:r>
    </w:p>
    <w:p w:rsidR="008A4D33" w:rsidRPr="00C25F6C" w:rsidRDefault="00655A59" w:rsidP="00C25F6C">
      <w:pPr>
        <w:pStyle w:val="NormalWeb"/>
        <w:shd w:val="clear" w:color="auto" w:fill="FFFFFF"/>
        <w:spacing w:before="0" w:beforeAutospacing="0" w:after="150" w:afterAutospacing="0" w:line="408" w:lineRule="atLeast"/>
        <w:ind w:firstLine="270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 xml:space="preserve">The coronavirus (COVID-19) pandemic has caused the value of </w:t>
      </w:r>
      <w:r w:rsidR="008A4D33" w:rsidRPr="00C25F6C">
        <w:rPr>
          <w:rStyle w:val="Strong"/>
          <w:b w:val="0"/>
          <w:color w:val="000000"/>
          <w:sz w:val="24"/>
          <w:szCs w:val="24"/>
        </w:rPr>
        <w:t xml:space="preserve">most </w:t>
      </w:r>
      <w:r w:rsidRPr="00C25F6C">
        <w:rPr>
          <w:rStyle w:val="Strong"/>
          <w:b w:val="0"/>
          <w:color w:val="000000"/>
          <w:sz w:val="24"/>
          <w:szCs w:val="24"/>
        </w:rPr>
        <w:t xml:space="preserve">IRAs to decrease in value some rather dramatically. While this is unfortunate, it also presents a unique opportunity: converting a traditional IRA to a Roth. Lower </w:t>
      </w:r>
      <w:r w:rsidR="008A4D33" w:rsidRPr="00C25F6C">
        <w:rPr>
          <w:rStyle w:val="Strong"/>
          <w:b w:val="0"/>
          <w:color w:val="000000"/>
          <w:sz w:val="24"/>
          <w:szCs w:val="24"/>
        </w:rPr>
        <w:t xml:space="preserve">IRA </w:t>
      </w:r>
      <w:r w:rsidRPr="00C25F6C">
        <w:rPr>
          <w:rStyle w:val="Strong"/>
          <w:b w:val="0"/>
          <w:color w:val="000000"/>
          <w:sz w:val="24"/>
          <w:szCs w:val="24"/>
        </w:rPr>
        <w:t xml:space="preserve">values mean a lower tax on the conversion. The good news is </w:t>
      </w:r>
      <w:r w:rsidR="00C25F6C">
        <w:rPr>
          <w:rStyle w:val="Strong"/>
          <w:b w:val="0"/>
          <w:color w:val="000000"/>
          <w:sz w:val="24"/>
          <w:szCs w:val="24"/>
        </w:rPr>
        <w:t xml:space="preserve">future </w:t>
      </w:r>
      <w:r w:rsidRPr="00C25F6C">
        <w:rPr>
          <w:rStyle w:val="Strong"/>
          <w:b w:val="0"/>
          <w:color w:val="000000"/>
          <w:sz w:val="24"/>
          <w:szCs w:val="24"/>
        </w:rPr>
        <w:t>withdrawals from a Roth are not taxable</w:t>
      </w:r>
      <w:r w:rsidR="00C25F6C">
        <w:rPr>
          <w:rStyle w:val="Strong"/>
          <w:b w:val="0"/>
          <w:color w:val="000000"/>
          <w:sz w:val="24"/>
          <w:szCs w:val="24"/>
        </w:rPr>
        <w:t xml:space="preserve"> but they are from a traditional IRA</w:t>
      </w:r>
      <w:r w:rsidRPr="00C25F6C">
        <w:rPr>
          <w:rStyle w:val="Strong"/>
          <w:b w:val="0"/>
          <w:color w:val="000000"/>
          <w:sz w:val="24"/>
          <w:szCs w:val="24"/>
        </w:rPr>
        <w:t>. The bad news is you have to pay a t</w:t>
      </w:r>
      <w:r w:rsidR="008A4D33" w:rsidRPr="00C25F6C">
        <w:rPr>
          <w:rStyle w:val="Strong"/>
          <w:b w:val="0"/>
          <w:color w:val="000000"/>
          <w:sz w:val="24"/>
          <w:szCs w:val="24"/>
        </w:rPr>
        <w:t>ax on the amount of conversion.</w:t>
      </w:r>
    </w:p>
    <w:p w:rsidR="00655A59" w:rsidRPr="00C25F6C" w:rsidRDefault="008A4D33" w:rsidP="00C25F6C">
      <w:pPr>
        <w:pStyle w:val="NormalWeb"/>
        <w:shd w:val="clear" w:color="auto" w:fill="FFFFFF"/>
        <w:spacing w:before="0" w:beforeAutospacing="0" w:after="150" w:afterAutospacing="0" w:line="408" w:lineRule="atLeast"/>
        <w:ind w:firstLine="270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>C</w:t>
      </w:r>
      <w:r w:rsidR="00655A59" w:rsidRPr="00C25F6C">
        <w:rPr>
          <w:rStyle w:val="Strong"/>
          <w:b w:val="0"/>
          <w:color w:val="000000"/>
          <w:sz w:val="24"/>
          <w:szCs w:val="24"/>
        </w:rPr>
        <w:t xml:space="preserve">ontributions to a traditional IRA are tax deductible at the time of the contribution whereas contributions to a Roth are made with after tax dollars. Contributions to a Roth IRA are subject to income limits </w:t>
      </w:r>
      <w:r w:rsidRPr="00C25F6C">
        <w:rPr>
          <w:rStyle w:val="Strong"/>
          <w:b w:val="0"/>
          <w:color w:val="000000"/>
          <w:sz w:val="24"/>
          <w:szCs w:val="24"/>
        </w:rPr>
        <w:t>but conversions are</w:t>
      </w:r>
      <w:r w:rsidR="00655A59" w:rsidRPr="00C25F6C">
        <w:rPr>
          <w:rStyle w:val="Strong"/>
          <w:b w:val="0"/>
          <w:color w:val="000000"/>
          <w:sz w:val="24"/>
          <w:szCs w:val="24"/>
        </w:rPr>
        <w:t xml:space="preserve"> not income tested. Anyone of any income level can make a </w:t>
      </w:r>
      <w:r w:rsidRPr="00C25F6C">
        <w:rPr>
          <w:rStyle w:val="Strong"/>
          <w:b w:val="0"/>
          <w:color w:val="000000"/>
          <w:sz w:val="24"/>
          <w:szCs w:val="24"/>
        </w:rPr>
        <w:t>conversion</w:t>
      </w:r>
      <w:r w:rsidR="00655A59" w:rsidRPr="00C25F6C">
        <w:rPr>
          <w:rStyle w:val="Strong"/>
          <w:b w:val="0"/>
          <w:color w:val="000000"/>
          <w:sz w:val="24"/>
          <w:szCs w:val="24"/>
        </w:rPr>
        <w:t xml:space="preserve">. </w:t>
      </w:r>
    </w:p>
    <w:p w:rsidR="008A4D33" w:rsidRPr="00C25F6C" w:rsidRDefault="008A4D33" w:rsidP="00C25F6C">
      <w:pPr>
        <w:pStyle w:val="NormalWeb"/>
        <w:shd w:val="clear" w:color="auto" w:fill="FFFFFF"/>
        <w:spacing w:before="0" w:beforeAutospacing="0" w:after="150" w:afterAutospacing="0" w:line="408" w:lineRule="atLeast"/>
        <w:ind w:firstLine="270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 xml:space="preserve">When deciding whether to convert you need to consider how you will </w:t>
      </w:r>
      <w:r w:rsidR="00655A59" w:rsidRPr="00C25F6C">
        <w:rPr>
          <w:rStyle w:val="Strong"/>
          <w:b w:val="0"/>
          <w:color w:val="000000"/>
          <w:sz w:val="24"/>
          <w:szCs w:val="24"/>
        </w:rPr>
        <w:t>pay the tax. Paying the tax with cash outside t</w:t>
      </w:r>
      <w:r w:rsidRPr="00C25F6C">
        <w:rPr>
          <w:rStyle w:val="Strong"/>
          <w:b w:val="0"/>
          <w:color w:val="000000"/>
          <w:sz w:val="24"/>
          <w:szCs w:val="24"/>
        </w:rPr>
        <w:t>he IRA is the best way</w:t>
      </w:r>
      <w:r w:rsidR="00655A59" w:rsidRPr="00C25F6C">
        <w:rPr>
          <w:rStyle w:val="Strong"/>
          <w:b w:val="0"/>
          <w:color w:val="000000"/>
          <w:sz w:val="24"/>
          <w:szCs w:val="24"/>
        </w:rPr>
        <w:t>. Paying the tax by taking a distribution from your IRA is generally not a good idea.</w:t>
      </w:r>
    </w:p>
    <w:p w:rsidR="00655A59" w:rsidRDefault="00C25F6C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ind w:firstLine="270"/>
        <w:rPr>
          <w:rStyle w:val="Strong"/>
          <w:b w:val="0"/>
          <w:color w:val="000000"/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</w:rPr>
        <w:t>T</w:t>
      </w:r>
      <w:r w:rsidR="00655A59" w:rsidRPr="00C25F6C">
        <w:rPr>
          <w:rStyle w:val="Strong"/>
          <w:b w:val="0"/>
          <w:color w:val="000000"/>
          <w:sz w:val="24"/>
          <w:szCs w:val="24"/>
        </w:rPr>
        <w:t>he younger you</w:t>
      </w:r>
      <w:r w:rsidR="00C80150">
        <w:rPr>
          <w:rStyle w:val="Strong"/>
          <w:b w:val="0"/>
          <w:color w:val="000000"/>
          <w:sz w:val="24"/>
          <w:szCs w:val="24"/>
        </w:rPr>
        <w:t xml:space="preserve"> are, conversion becomes more attractive conversion</w:t>
      </w:r>
      <w:r w:rsidR="00655A59" w:rsidRPr="00C25F6C">
        <w:rPr>
          <w:rStyle w:val="Strong"/>
          <w:b w:val="0"/>
          <w:color w:val="000000"/>
          <w:sz w:val="24"/>
          <w:szCs w:val="24"/>
        </w:rPr>
        <w:t xml:space="preserve">. </w:t>
      </w:r>
      <w:r w:rsidR="00C80150">
        <w:rPr>
          <w:rStyle w:val="Strong"/>
          <w:b w:val="0"/>
          <w:color w:val="000000"/>
          <w:sz w:val="24"/>
          <w:szCs w:val="24"/>
        </w:rPr>
        <w:t>T</w:t>
      </w:r>
      <w:r w:rsidR="008A4D33" w:rsidRPr="00C25F6C">
        <w:rPr>
          <w:rStyle w:val="Strong"/>
          <w:b w:val="0"/>
          <w:color w:val="000000"/>
          <w:sz w:val="24"/>
          <w:szCs w:val="24"/>
        </w:rPr>
        <w:t xml:space="preserve">he longer you have to recoup the value </w:t>
      </w:r>
      <w:r w:rsidR="00C80150">
        <w:rPr>
          <w:rStyle w:val="Strong"/>
          <w:b w:val="0"/>
          <w:color w:val="000000"/>
          <w:sz w:val="24"/>
          <w:szCs w:val="24"/>
        </w:rPr>
        <w:t>of the tax paid, the better for you</w:t>
      </w:r>
      <w:r w:rsidR="008A4D33" w:rsidRPr="00C25F6C">
        <w:rPr>
          <w:rStyle w:val="Strong"/>
          <w:b w:val="0"/>
          <w:color w:val="000000"/>
          <w:sz w:val="24"/>
          <w:szCs w:val="24"/>
        </w:rPr>
        <w:t>. Finally, you don’t have to conver</w:t>
      </w:r>
      <w:r w:rsidR="00C80150">
        <w:rPr>
          <w:rStyle w:val="Strong"/>
          <w:b w:val="0"/>
          <w:color w:val="000000"/>
          <w:sz w:val="24"/>
          <w:szCs w:val="24"/>
        </w:rPr>
        <w:t>t your entire traditional IRA--y</w:t>
      </w:r>
      <w:r w:rsidR="008A4D33" w:rsidRPr="00C25F6C">
        <w:rPr>
          <w:rStyle w:val="Strong"/>
          <w:b w:val="0"/>
          <w:color w:val="000000"/>
          <w:sz w:val="24"/>
          <w:szCs w:val="24"/>
        </w:rPr>
        <w:t xml:space="preserve">ou have great flexibility in deciding how much to convert. </w:t>
      </w:r>
      <w:r w:rsidR="00CB1DAA">
        <w:rPr>
          <w:rStyle w:val="Strong"/>
          <w:b w:val="0"/>
          <w:color w:val="000000"/>
          <w:sz w:val="24"/>
          <w:szCs w:val="24"/>
        </w:rPr>
        <w:t>Here is a site that can help:</w:t>
      </w:r>
    </w:p>
    <w:p w:rsidR="00CB1DAA" w:rsidRDefault="00CB1DAA" w:rsidP="00C80150">
      <w:pPr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CB1D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https://www.schwab.com/ira/understand-iras/ira-calculators/roth-ira-conversion</w:t>
        </w:r>
      </w:hyperlink>
    </w:p>
    <w:p w:rsidR="00CB1DAA" w:rsidRPr="00CB1DAA" w:rsidRDefault="00CB1DAA" w:rsidP="00CB1DAA">
      <w:pPr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:rsidR="008A4D33" w:rsidRPr="00C25F6C" w:rsidRDefault="008A4D33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ind w:firstLine="270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 xml:space="preserve">Call me if you wish to discuss this unique opportunity. While I can’t say </w:t>
      </w:r>
      <w:r w:rsidR="00C25F6C" w:rsidRPr="00C25F6C">
        <w:rPr>
          <w:rStyle w:val="Strong"/>
          <w:b w:val="0"/>
          <w:color w:val="000000"/>
          <w:sz w:val="24"/>
          <w:szCs w:val="24"/>
        </w:rPr>
        <w:t>now</w:t>
      </w:r>
      <w:r w:rsidRPr="00C25F6C">
        <w:rPr>
          <w:rStyle w:val="Strong"/>
          <w:b w:val="0"/>
          <w:color w:val="000000"/>
          <w:sz w:val="24"/>
          <w:szCs w:val="24"/>
        </w:rPr>
        <w:t xml:space="preserve"> is </w:t>
      </w:r>
      <w:r w:rsidR="00C25F6C" w:rsidRPr="00C25F6C">
        <w:rPr>
          <w:rStyle w:val="Strong"/>
          <w:b w:val="0"/>
          <w:color w:val="000000"/>
          <w:sz w:val="24"/>
          <w:szCs w:val="24"/>
        </w:rPr>
        <w:t xml:space="preserve">the </w:t>
      </w:r>
      <w:r w:rsidR="00C25F6C">
        <w:rPr>
          <w:rStyle w:val="Strong"/>
          <w:b w:val="0"/>
          <w:color w:val="000000"/>
          <w:sz w:val="24"/>
          <w:szCs w:val="24"/>
        </w:rPr>
        <w:t xml:space="preserve">right </w:t>
      </w:r>
      <w:r w:rsidRPr="00C25F6C">
        <w:rPr>
          <w:rStyle w:val="Strong"/>
          <w:b w:val="0"/>
          <w:color w:val="000000"/>
          <w:sz w:val="24"/>
          <w:szCs w:val="24"/>
        </w:rPr>
        <w:t>time to make a conversion</w:t>
      </w:r>
      <w:r w:rsidR="00C25F6C">
        <w:rPr>
          <w:rStyle w:val="Strong"/>
          <w:b w:val="0"/>
          <w:color w:val="000000"/>
          <w:sz w:val="24"/>
          <w:szCs w:val="24"/>
        </w:rPr>
        <w:t xml:space="preserve"> since values may decline even more</w:t>
      </w:r>
      <w:r w:rsidRPr="00C25F6C">
        <w:rPr>
          <w:rStyle w:val="Strong"/>
          <w:b w:val="0"/>
          <w:color w:val="000000"/>
          <w:sz w:val="24"/>
          <w:szCs w:val="24"/>
        </w:rPr>
        <w:t xml:space="preserve">, </w:t>
      </w:r>
      <w:r w:rsidR="00C25F6C">
        <w:rPr>
          <w:rStyle w:val="Strong"/>
          <w:b w:val="0"/>
          <w:color w:val="000000"/>
          <w:sz w:val="24"/>
          <w:szCs w:val="24"/>
        </w:rPr>
        <w:t xml:space="preserve">but </w:t>
      </w:r>
      <w:r w:rsidRPr="00C25F6C">
        <w:rPr>
          <w:rStyle w:val="Strong"/>
          <w:b w:val="0"/>
          <w:color w:val="000000"/>
          <w:sz w:val="24"/>
          <w:szCs w:val="24"/>
        </w:rPr>
        <w:t>I can say it may be</w:t>
      </w:r>
      <w:r w:rsidR="00C25F6C" w:rsidRPr="00C25F6C">
        <w:rPr>
          <w:rStyle w:val="Strong"/>
          <w:b w:val="0"/>
          <w:color w:val="000000"/>
          <w:sz w:val="24"/>
          <w:szCs w:val="24"/>
        </w:rPr>
        <w:t xml:space="preserve"> if the circumstances fit your situation</w:t>
      </w:r>
      <w:r w:rsidRPr="00C25F6C">
        <w:rPr>
          <w:rStyle w:val="Strong"/>
          <w:b w:val="0"/>
          <w:color w:val="000000"/>
          <w:sz w:val="24"/>
          <w:szCs w:val="24"/>
        </w:rPr>
        <w:t xml:space="preserve">. Let’s </w:t>
      </w:r>
      <w:r w:rsidR="00C25F6C">
        <w:rPr>
          <w:rStyle w:val="Strong"/>
          <w:b w:val="0"/>
          <w:color w:val="000000"/>
          <w:sz w:val="24"/>
          <w:szCs w:val="24"/>
        </w:rPr>
        <w:t>talk</w:t>
      </w:r>
      <w:r w:rsidRPr="00C25F6C">
        <w:rPr>
          <w:rStyle w:val="Strong"/>
          <w:b w:val="0"/>
          <w:color w:val="000000"/>
          <w:sz w:val="24"/>
          <w:szCs w:val="24"/>
        </w:rPr>
        <w:t>.</w:t>
      </w:r>
      <w:r w:rsidR="00C80150">
        <w:rPr>
          <w:rStyle w:val="Strong"/>
          <w:b w:val="0"/>
          <w:color w:val="000000"/>
          <w:sz w:val="24"/>
          <w:szCs w:val="24"/>
        </w:rPr>
        <w:t xml:space="preserve"> </w:t>
      </w:r>
    </w:p>
    <w:p w:rsidR="008A4D33" w:rsidRPr="00C25F6C" w:rsidRDefault="008A4D33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>Stay well and be safe</w:t>
      </w:r>
      <w:proofErr w:type="gramStart"/>
      <w:r w:rsidRPr="00C25F6C">
        <w:rPr>
          <w:rStyle w:val="Strong"/>
          <w:b w:val="0"/>
          <w:color w:val="000000"/>
          <w:sz w:val="24"/>
          <w:szCs w:val="24"/>
        </w:rPr>
        <w:t>,,,,</w:t>
      </w:r>
      <w:proofErr w:type="gramEnd"/>
    </w:p>
    <w:p w:rsidR="008A4D33" w:rsidRPr="00C25F6C" w:rsidRDefault="008A4D33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b w:val="0"/>
          <w:color w:val="000000"/>
          <w:sz w:val="24"/>
          <w:szCs w:val="24"/>
        </w:rPr>
      </w:pPr>
      <w:r w:rsidRPr="00C25F6C">
        <w:rPr>
          <w:rStyle w:val="Strong"/>
          <w:b w:val="0"/>
          <w:color w:val="000000"/>
          <w:sz w:val="24"/>
          <w:szCs w:val="24"/>
        </w:rPr>
        <w:t>Ron (M: 910-431-6308)</w:t>
      </w:r>
    </w:p>
    <w:p w:rsidR="00182922" w:rsidRDefault="00182922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color w:val="000000"/>
        </w:rPr>
      </w:pPr>
    </w:p>
    <w:bookmarkEnd w:id="0"/>
    <w:p w:rsidR="00CB1DAA" w:rsidRDefault="00CB1DAA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color w:val="000000"/>
        </w:rPr>
      </w:pPr>
    </w:p>
    <w:p w:rsidR="00CB1DAA" w:rsidRPr="00C25F6C" w:rsidRDefault="00CB1DAA" w:rsidP="00C25F6C">
      <w:pPr>
        <w:pStyle w:val="NormalWeb"/>
        <w:shd w:val="clear" w:color="auto" w:fill="FFFFFF"/>
        <w:tabs>
          <w:tab w:val="left" w:pos="1920"/>
          <w:tab w:val="center" w:pos="4320"/>
        </w:tabs>
        <w:spacing w:before="0" w:beforeAutospacing="0" w:after="150" w:afterAutospacing="0" w:line="408" w:lineRule="atLeast"/>
        <w:rPr>
          <w:rStyle w:val="Strong"/>
          <w:color w:val="000000"/>
        </w:rPr>
      </w:pPr>
    </w:p>
    <w:sectPr w:rsidR="00CB1DAA" w:rsidRPr="00C25F6C" w:rsidSect="00C25F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9"/>
    <w:rsid w:val="00182922"/>
    <w:rsid w:val="00655A59"/>
    <w:rsid w:val="008A4D33"/>
    <w:rsid w:val="00B20194"/>
    <w:rsid w:val="00C25F6C"/>
    <w:rsid w:val="00C80150"/>
    <w:rsid w:val="00C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FA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DA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A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5A59"/>
    <w:rPr>
      <w:b/>
      <w:bCs/>
    </w:rPr>
  </w:style>
  <w:style w:type="character" w:styleId="Emphasis">
    <w:name w:val="Emphasis"/>
    <w:basedOn w:val="DefaultParagraphFont"/>
    <w:uiPriority w:val="20"/>
    <w:qFormat/>
    <w:rsid w:val="00655A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B1DAA"/>
    <w:rPr>
      <w:rFonts w:ascii="Times New Roman" w:hAnsi="Times New Roman" w:cs="Times New Roman"/>
      <w:b/>
      <w:bCs/>
      <w:sz w:val="36"/>
      <w:szCs w:val="36"/>
    </w:rPr>
  </w:style>
  <w:style w:type="character" w:customStyle="1" w:styleId="h3">
    <w:name w:val="h3"/>
    <w:basedOn w:val="DefaultParagraphFont"/>
    <w:rsid w:val="00CB1DAA"/>
  </w:style>
  <w:style w:type="character" w:customStyle="1" w:styleId="gowithroth">
    <w:name w:val="gowithroth"/>
    <w:basedOn w:val="DefaultParagraphFont"/>
    <w:rsid w:val="00CB1DAA"/>
  </w:style>
  <w:style w:type="character" w:customStyle="1" w:styleId="boldtext">
    <w:name w:val="boldtext"/>
    <w:basedOn w:val="DefaultParagraphFont"/>
    <w:rsid w:val="00CB1DAA"/>
  </w:style>
  <w:style w:type="character" w:styleId="Hyperlink">
    <w:name w:val="Hyperlink"/>
    <w:basedOn w:val="DefaultParagraphFont"/>
    <w:uiPriority w:val="99"/>
    <w:semiHidden/>
    <w:unhideWhenUsed/>
    <w:rsid w:val="00CB1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1DA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A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5A59"/>
    <w:rPr>
      <w:b/>
      <w:bCs/>
    </w:rPr>
  </w:style>
  <w:style w:type="character" w:styleId="Emphasis">
    <w:name w:val="Emphasis"/>
    <w:basedOn w:val="DefaultParagraphFont"/>
    <w:uiPriority w:val="20"/>
    <w:qFormat/>
    <w:rsid w:val="00655A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B1DAA"/>
    <w:rPr>
      <w:rFonts w:ascii="Times New Roman" w:hAnsi="Times New Roman" w:cs="Times New Roman"/>
      <w:b/>
      <w:bCs/>
      <w:sz w:val="36"/>
      <w:szCs w:val="36"/>
    </w:rPr>
  </w:style>
  <w:style w:type="character" w:customStyle="1" w:styleId="h3">
    <w:name w:val="h3"/>
    <w:basedOn w:val="DefaultParagraphFont"/>
    <w:rsid w:val="00CB1DAA"/>
  </w:style>
  <w:style w:type="character" w:customStyle="1" w:styleId="gowithroth">
    <w:name w:val="gowithroth"/>
    <w:basedOn w:val="DefaultParagraphFont"/>
    <w:rsid w:val="00CB1DAA"/>
  </w:style>
  <w:style w:type="character" w:customStyle="1" w:styleId="boldtext">
    <w:name w:val="boldtext"/>
    <w:basedOn w:val="DefaultParagraphFont"/>
    <w:rsid w:val="00CB1DAA"/>
  </w:style>
  <w:style w:type="character" w:styleId="Hyperlink">
    <w:name w:val="Hyperlink"/>
    <w:basedOn w:val="DefaultParagraphFont"/>
    <w:uiPriority w:val="99"/>
    <w:semiHidden/>
    <w:unhideWhenUsed/>
    <w:rsid w:val="00CB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hwab.com/ira/understand-iras/ira-calculators/roth-ira-convers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1503</Characters>
  <Application>Microsoft Macintosh Word</Application>
  <DocSecurity>0</DocSecurity>
  <Lines>12</Lines>
  <Paragraphs>3</Paragraphs>
  <ScaleCrop>false</ScaleCrop>
  <Company>Copley Investment Management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Copley</dc:creator>
  <cp:keywords/>
  <dc:description/>
  <cp:lastModifiedBy>Ronald Copley</cp:lastModifiedBy>
  <cp:revision>1</cp:revision>
  <dcterms:created xsi:type="dcterms:W3CDTF">2020-05-06T19:37:00Z</dcterms:created>
  <dcterms:modified xsi:type="dcterms:W3CDTF">2020-05-07T12:30:00Z</dcterms:modified>
</cp:coreProperties>
</file>